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Business Justification Letter</w:t>
      </w:r>
    </w:p>
    <w:p w:rsidR="00000000" w:rsidDel="00000000" w:rsidP="00000000" w:rsidRDefault="00000000" w:rsidRPr="00000000" w14:paraId="00000002">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3">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Subject: Request to Attend Authenticate Conference 2022</w:t>
      </w:r>
    </w:p>
    <w:p w:rsidR="00000000" w:rsidDel="00000000" w:rsidP="00000000" w:rsidRDefault="00000000" w:rsidRPr="00000000" w14:paraId="0000000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Dear [Decision Maker Name],</w:t>
      </w:r>
    </w:p>
    <w:p w:rsidR="00000000" w:rsidDel="00000000" w:rsidP="00000000" w:rsidRDefault="00000000" w:rsidRPr="00000000" w14:paraId="0000000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7">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I would like to request approval to attend Authenticate 2022, taking place October 17-19, 2022 in Seattle, Washington. Authenticate offers three days of education on the who, what, why and how of user authentication – with a focus on the FIDO standards-based approach. Authenticate is the only conference dedicated to user authentication, and attending will help further my knowledge and technical skills on this topic and how we can leverage new technologies to enable simpler and stronger authentication within our organization and increase its overall security posture.</w:t>
      </w:r>
    </w:p>
    <w:p w:rsidR="00000000" w:rsidDel="00000000" w:rsidP="00000000" w:rsidRDefault="00000000" w:rsidRPr="00000000" w14:paraId="00000008">
      <w:pPr>
        <w:pageBreakBefore w:val="0"/>
        <w:rPr>
          <w:rFonts w:ascii="Lato" w:cs="Lato" w:eastAsia="Lato" w:hAnsi="Lato"/>
          <w:color w:val="313541"/>
          <w:highlight w:val="white"/>
        </w:rPr>
      </w:pPr>
      <w:r w:rsidDel="00000000" w:rsidR="00000000" w:rsidRPr="00000000">
        <w:rPr>
          <w:rtl w:val="0"/>
        </w:rPr>
      </w:r>
    </w:p>
    <w:p w:rsidR="00000000" w:rsidDel="00000000" w:rsidP="00000000" w:rsidRDefault="00000000" w:rsidRPr="00000000" w14:paraId="00000009">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offers educational sessions presented by leading industry speakers, including detailed case studies, technical tutorials and expert panels — all helping educate attendees on business drivers, technical considerations and overall best practices for deploying modern authentication systems. It covers a number of critical security issues and emerging concepts facing our organization.</w:t>
      </w:r>
    </w:p>
    <w:p w:rsidR="00000000" w:rsidDel="00000000" w:rsidP="00000000" w:rsidRDefault="00000000" w:rsidRPr="00000000" w14:paraId="0000000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B">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Authenticate 2022 is available to attend in-person for the cost of $850 ($700 early bird) plus travel expenses and provide these benefits: </w:t>
      </w:r>
      <w:r w:rsidDel="00000000" w:rsidR="00000000" w:rsidRPr="00000000">
        <w:rPr>
          <w:rtl w:val="0"/>
        </w:rPr>
      </w:r>
    </w:p>
    <w:p w:rsidR="00000000" w:rsidDel="00000000" w:rsidP="00000000" w:rsidRDefault="00000000" w:rsidRPr="00000000" w14:paraId="0000000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Three days of </w:t>
      </w:r>
      <w:r w:rsidDel="00000000" w:rsidR="00000000" w:rsidRPr="00000000">
        <w:rPr>
          <w:rFonts w:ascii="Lato" w:cs="Lato" w:eastAsia="Lato" w:hAnsi="Lato"/>
          <w:color w:val="313541"/>
          <w:rtl w:val="0"/>
        </w:rPr>
        <w:t xml:space="preserve">educational sessions. This year’s program includes session presentations touching on several important topics for us, including several case studies on how major companies like ADP, Cambridge Housing Authority, Citi, Google, Salesforce, and USAA have deployed new modern authentication systems within their enterprises and to their customers. </w:t>
      </w:r>
    </w:p>
    <w:p w:rsidR="00000000" w:rsidDel="00000000" w:rsidP="00000000" w:rsidRDefault="00000000" w:rsidRPr="00000000" w14:paraId="0000000D">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Opportunities to understand the latest identity and authentication trends from industry leaders and guest speakers as well as learn firsthand about actual experiences from seasoned practitioners.</w:t>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Networking events that will allow me to raise our profile and develop relationships and contacts with experts, vendors and peers.</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rPr>
          <w:rFonts w:ascii="Lato" w:cs="Lato" w:eastAsia="Lato" w:hAnsi="Lato"/>
          <w:sz w:val="22"/>
          <w:szCs w:val="22"/>
        </w:rPr>
      </w:pPr>
      <w:r w:rsidDel="00000000" w:rsidR="00000000" w:rsidRPr="00000000">
        <w:rPr>
          <w:rFonts w:ascii="Lato" w:cs="Lato" w:eastAsia="Lato" w:hAnsi="Lato"/>
          <w:color w:val="313541"/>
          <w:rtl w:val="0"/>
        </w:rPr>
        <w:t xml:space="preserve">An expo hall where I can access vendors in the identity and authentication space and see product demos with companies who offer technologies that might benefit our organization.</w:t>
      </w:r>
    </w:p>
    <w:p w:rsidR="00000000" w:rsidDel="00000000" w:rsidP="00000000" w:rsidRDefault="00000000" w:rsidRPr="00000000" w14:paraId="00000010">
      <w:pPr>
        <w:pageBreakBefore w:val="0"/>
        <w:rPr>
          <w:rFonts w:ascii="Lato" w:cs="Lato" w:eastAsia="Lato" w:hAnsi="Lato"/>
          <w:color w:val="313541"/>
          <w:highlight w:val="white"/>
        </w:rPr>
      </w:pPr>
      <w:r w:rsidDel="00000000" w:rsidR="00000000" w:rsidRPr="00000000">
        <w:rPr>
          <w:rFonts w:ascii="Lato" w:cs="Lato" w:eastAsia="Lato" w:hAnsi="Lato"/>
          <w:color w:val="313541"/>
          <w:highlight w:val="white"/>
          <w:rtl w:val="0"/>
        </w:rPr>
        <w:t xml:space="preserve">When Authenticate 2022 concludes, I will compile a short presentation covering speakers’ presentation notes, useful vendor product information, networking discussions had, and a proposal for implementing new ideas that will benefit our team.</w:t>
      </w:r>
    </w:p>
    <w:p w:rsidR="00000000" w:rsidDel="00000000" w:rsidP="00000000" w:rsidRDefault="00000000" w:rsidRPr="00000000" w14:paraId="0000001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Fonts w:ascii="Lato" w:cs="Lato" w:eastAsia="Lato" w:hAnsi="Lato"/>
          <w:color w:val="313541"/>
          <w:highlight w:val="white"/>
          <w:rtl w:val="0"/>
        </w:rPr>
        <w:t xml:space="preserve">To benefit from early bird pricing, I need to register by September 2, so I appreciate a quick response. Thank you for your consideration.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135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